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E0" w:rsidRPr="00DD5DE1" w:rsidRDefault="00263EE0" w:rsidP="00263EE0">
      <w:pPr>
        <w:widowControl/>
        <w:jc w:val="center"/>
        <w:rPr>
          <w:rFonts w:ascii="標楷體" w:eastAsia="標楷體" w:hAnsi="標楷體"/>
          <w:b/>
          <w:color w:val="000000"/>
          <w:sz w:val="32"/>
          <w:szCs w:val="32"/>
        </w:rPr>
      </w:pPr>
      <w:bookmarkStart w:id="0" w:name="_GoBack"/>
      <w:bookmarkEnd w:id="0"/>
      <w:r w:rsidRPr="00DD5DE1">
        <w:rPr>
          <w:rFonts w:ascii="標楷體" w:eastAsia="標楷體" w:hAnsi="標楷體" w:hint="eastAsia"/>
          <w:b/>
          <w:color w:val="000000"/>
          <w:sz w:val="32"/>
          <w:szCs w:val="32"/>
        </w:rPr>
        <w:t>黎明技術學院教師執行計畫重要規定自我檢核切結表</w:t>
      </w:r>
    </w:p>
    <w:p w:rsidR="00263EE0" w:rsidRDefault="00263EE0" w:rsidP="00FA2769">
      <w:pPr>
        <w:snapToGrid w:val="0"/>
        <w:rPr>
          <w:rFonts w:ascii="標楷體" w:eastAsia="標楷體" w:hAnsi="標楷體"/>
          <w:color w:val="000000"/>
          <w:sz w:val="28"/>
          <w:szCs w:val="28"/>
        </w:rPr>
      </w:pPr>
      <w:r>
        <w:rPr>
          <w:rFonts w:ascii="標楷體" w:eastAsia="標楷體" w:hAnsi="標楷體" w:hint="eastAsia"/>
          <w:color w:val="000000"/>
          <w:sz w:val="28"/>
          <w:szCs w:val="28"/>
        </w:rPr>
        <w:t>經費來源</w:t>
      </w:r>
      <w:r w:rsidRPr="000437B8">
        <w:rPr>
          <w:rFonts w:ascii="標楷體" w:eastAsia="標楷體" w:hAnsi="標楷體" w:hint="eastAsia"/>
          <w:color w:val="000000"/>
          <w:sz w:val="28"/>
          <w:szCs w:val="28"/>
        </w:rPr>
        <w:t>：</w:t>
      </w:r>
      <w:r>
        <w:rPr>
          <w:rFonts w:ascii="標楷體" w:eastAsia="標楷體" w:hAnsi="標楷體" w:hint="eastAsia"/>
          <w:color w:val="000000"/>
          <w:sz w:val="28"/>
          <w:szCs w:val="28"/>
        </w:rPr>
        <w:t>_________________________________________________</w:t>
      </w:r>
    </w:p>
    <w:p w:rsidR="00744BFB" w:rsidRDefault="00744BFB" w:rsidP="001301F3">
      <w:pPr>
        <w:snapToGrid w:val="0"/>
        <w:ind w:left="420" w:hangingChars="150" w:hanging="420"/>
        <w:rPr>
          <w:rFonts w:ascii="標楷體" w:eastAsia="標楷體" w:hAnsi="標楷體"/>
          <w:color w:val="000000"/>
          <w:sz w:val="28"/>
          <w:szCs w:val="28"/>
        </w:rPr>
      </w:pPr>
      <w:r>
        <w:rPr>
          <w:rFonts w:ascii="標楷體" w:eastAsia="標楷體" w:hAnsi="標楷體" w:hint="eastAsia"/>
          <w:color w:val="000000"/>
          <w:sz w:val="28"/>
          <w:szCs w:val="28"/>
        </w:rPr>
        <w:t>計畫</w:t>
      </w:r>
      <w:r w:rsidR="006244E1" w:rsidRPr="000437B8">
        <w:rPr>
          <w:rFonts w:ascii="標楷體" w:eastAsia="標楷體" w:hAnsi="標楷體" w:hint="eastAsia"/>
          <w:color w:val="000000"/>
          <w:sz w:val="28"/>
          <w:szCs w:val="28"/>
        </w:rPr>
        <w:t>名稱</w:t>
      </w:r>
      <w:r w:rsidR="001301F3" w:rsidRPr="000437B8">
        <w:rPr>
          <w:rFonts w:ascii="標楷體" w:eastAsia="標楷體" w:hAnsi="標楷體" w:hint="eastAsia"/>
          <w:color w:val="000000"/>
          <w:sz w:val="28"/>
          <w:szCs w:val="28"/>
        </w:rPr>
        <w:t>：</w:t>
      </w:r>
      <w:r w:rsidR="001301F3">
        <w:rPr>
          <w:rFonts w:ascii="標楷體" w:eastAsia="標楷體" w:hAnsi="標楷體" w:hint="eastAsia"/>
          <w:color w:val="000000"/>
          <w:sz w:val="28"/>
          <w:szCs w:val="28"/>
        </w:rPr>
        <w:t>_________________________________________________</w:t>
      </w:r>
    </w:p>
    <w:p w:rsidR="001301F3" w:rsidRDefault="00744BFB" w:rsidP="001301F3">
      <w:pPr>
        <w:snapToGrid w:val="0"/>
        <w:ind w:left="420" w:hangingChars="150" w:hanging="420"/>
        <w:rPr>
          <w:rFonts w:ascii="標楷體" w:eastAsia="標楷體" w:hAnsi="標楷體"/>
          <w:color w:val="000000"/>
          <w:sz w:val="28"/>
          <w:szCs w:val="28"/>
        </w:rPr>
      </w:pPr>
      <w:r w:rsidRPr="000437B8">
        <w:rPr>
          <w:rFonts w:ascii="標楷體" w:eastAsia="標楷體" w:hAnsi="標楷體" w:hint="eastAsia"/>
          <w:color w:val="000000"/>
          <w:sz w:val="28"/>
          <w:szCs w:val="28"/>
        </w:rPr>
        <w:t>計畫</w:t>
      </w:r>
      <w:r w:rsidR="006244E1">
        <w:rPr>
          <w:rFonts w:ascii="標楷體" w:eastAsia="標楷體" w:hAnsi="標楷體" w:hint="eastAsia"/>
          <w:color w:val="000000"/>
          <w:sz w:val="28"/>
          <w:szCs w:val="28"/>
        </w:rPr>
        <w:t>編號</w:t>
      </w:r>
      <w:r>
        <w:rPr>
          <w:rFonts w:ascii="標楷體" w:eastAsia="標楷體" w:hAnsi="標楷體" w:hint="eastAsia"/>
          <w:color w:val="000000"/>
          <w:sz w:val="28"/>
          <w:szCs w:val="28"/>
        </w:rPr>
        <w:t>：_________________________________________________</w:t>
      </w:r>
      <w:r w:rsidR="001301F3">
        <w:rPr>
          <w:rFonts w:ascii="標楷體" w:eastAsia="標楷體" w:hAnsi="標楷體" w:hint="eastAsia"/>
          <w:color w:val="000000"/>
          <w:sz w:val="28"/>
          <w:szCs w:val="28"/>
        </w:rPr>
        <w:t xml:space="preserve"> </w:t>
      </w:r>
    </w:p>
    <w:tbl>
      <w:tblPr>
        <w:tblW w:w="101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
        <w:gridCol w:w="8470"/>
        <w:gridCol w:w="1156"/>
      </w:tblGrid>
      <w:tr w:rsidR="00263EE0" w:rsidRPr="000966F4" w:rsidTr="00403360">
        <w:trPr>
          <w:trHeight w:val="410"/>
          <w:jc w:val="center"/>
        </w:trPr>
        <w:tc>
          <w:tcPr>
            <w:tcW w:w="557" w:type="dxa"/>
            <w:vAlign w:val="center"/>
          </w:tcPr>
          <w:p w:rsidR="00263EE0" w:rsidRPr="000966F4" w:rsidRDefault="00263EE0" w:rsidP="00403360">
            <w:pPr>
              <w:topLinePunct/>
              <w:snapToGrid w:val="0"/>
              <w:jc w:val="center"/>
              <w:rPr>
                <w:rFonts w:ascii="標楷體" w:eastAsia="標楷體" w:hAnsi="標楷體"/>
                <w:bCs/>
                <w:color w:val="000000"/>
              </w:rPr>
            </w:pPr>
            <w:r w:rsidRPr="000966F4">
              <w:rPr>
                <w:rFonts w:ascii="標楷體" w:eastAsia="標楷體" w:hAnsi="標楷體" w:hint="eastAsia"/>
                <w:bCs/>
                <w:color w:val="000000"/>
              </w:rPr>
              <w:t>1.</w:t>
            </w:r>
          </w:p>
        </w:tc>
        <w:tc>
          <w:tcPr>
            <w:tcW w:w="8470" w:type="dxa"/>
          </w:tcPr>
          <w:p w:rsidR="00263EE0" w:rsidRPr="000966F4" w:rsidRDefault="00263EE0" w:rsidP="00D10D34">
            <w:pPr>
              <w:topLinePunct/>
              <w:snapToGrid w:val="0"/>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w:t>
            </w:r>
            <w:r>
              <w:rPr>
                <w:rFonts w:ascii="標楷體" w:eastAsia="標楷體" w:hAnsi="標楷體" w:hint="eastAsia"/>
                <w:bCs/>
                <w:color w:val="000000"/>
              </w:rPr>
              <w:t>公家</w:t>
            </w:r>
            <w:r w:rsidRPr="000966F4">
              <w:rPr>
                <w:rFonts w:ascii="標楷體" w:eastAsia="標楷體" w:hAnsi="標楷體" w:hint="eastAsia"/>
                <w:bCs/>
                <w:color w:val="000000"/>
              </w:rPr>
              <w:t>補助或委辦計畫經費之動支係屬動用公帑，應恪守「公務員服務法」及相關規定。</w:t>
            </w:r>
          </w:p>
        </w:tc>
        <w:tc>
          <w:tcPr>
            <w:tcW w:w="1156" w:type="dxa"/>
          </w:tcPr>
          <w:p w:rsidR="00263EE0" w:rsidRPr="000966F4" w:rsidRDefault="00263EE0"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205"/>
          <w:jc w:val="center"/>
        </w:trPr>
        <w:tc>
          <w:tcPr>
            <w:tcW w:w="557" w:type="dxa"/>
            <w:vAlign w:val="center"/>
          </w:tcPr>
          <w:p w:rsidR="00FA2769" w:rsidRPr="000966F4" w:rsidRDefault="00FA2769" w:rsidP="00403360">
            <w:pPr>
              <w:snapToGrid w:val="0"/>
              <w:jc w:val="center"/>
              <w:rPr>
                <w:rFonts w:ascii="標楷體" w:eastAsia="標楷體" w:hAnsi="標楷體"/>
                <w:color w:val="000000"/>
              </w:rPr>
            </w:pPr>
            <w:r w:rsidRPr="000966F4">
              <w:rPr>
                <w:rFonts w:ascii="標楷體" w:eastAsia="標楷體" w:hAnsi="標楷體" w:hint="eastAsia"/>
                <w:color w:val="000000"/>
              </w:rPr>
              <w:t>2.</w:t>
            </w:r>
          </w:p>
        </w:tc>
        <w:tc>
          <w:tcPr>
            <w:tcW w:w="8470" w:type="dxa"/>
          </w:tcPr>
          <w:p w:rsidR="00FA2769" w:rsidRPr="007B103C" w:rsidRDefault="00FA2769" w:rsidP="00744BFB">
            <w:pPr>
              <w:topLinePunct/>
              <w:snapToGrid w:val="0"/>
              <w:ind w:leftChars="51" w:left="124" w:rightChars="54" w:right="130" w:hanging="2"/>
              <w:jc w:val="both"/>
              <w:rPr>
                <w:rFonts w:ascii="標楷體" w:eastAsia="標楷體" w:hAnsi="標楷體"/>
                <w:bCs/>
              </w:rPr>
            </w:pPr>
            <w:r w:rsidRPr="007B103C">
              <w:rPr>
                <w:rFonts w:ascii="標楷體" w:eastAsia="標楷體" w:hAnsi="標楷體" w:hint="eastAsia"/>
                <w:bCs/>
              </w:rPr>
              <w:t>專任教師不得有未透過學校行政作業而接受委託研究之情事，應由學校具名簽訂合約。</w:t>
            </w:r>
            <w:r w:rsidR="00B42D2D" w:rsidRPr="007B103C">
              <w:rPr>
                <w:rFonts w:ascii="標楷體" w:eastAsia="標楷體" w:hAnsi="標楷體" w:hint="eastAsia"/>
                <w:bCs/>
              </w:rPr>
              <w:t xml:space="preserve"> </w:t>
            </w:r>
          </w:p>
        </w:tc>
        <w:tc>
          <w:tcPr>
            <w:tcW w:w="1156" w:type="dxa"/>
          </w:tcPr>
          <w:p w:rsidR="00FA2769" w:rsidRPr="000966F4" w:rsidRDefault="00FA2769"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410"/>
          <w:jc w:val="center"/>
        </w:trPr>
        <w:tc>
          <w:tcPr>
            <w:tcW w:w="557" w:type="dxa"/>
            <w:vAlign w:val="center"/>
          </w:tcPr>
          <w:p w:rsidR="00FA2769" w:rsidRPr="000966F4" w:rsidRDefault="00FA2769" w:rsidP="00403360">
            <w:pPr>
              <w:topLinePunct/>
              <w:snapToGrid w:val="0"/>
              <w:jc w:val="center"/>
              <w:rPr>
                <w:rFonts w:ascii="標楷體" w:eastAsia="標楷體" w:hAnsi="標楷體"/>
                <w:bCs/>
                <w:color w:val="000000"/>
              </w:rPr>
            </w:pPr>
            <w:r w:rsidRPr="000966F4">
              <w:rPr>
                <w:rFonts w:ascii="標楷體" w:eastAsia="標楷體" w:hAnsi="標楷體" w:hint="eastAsia"/>
                <w:bCs/>
                <w:color w:val="000000"/>
              </w:rPr>
              <w:t>3.</w:t>
            </w:r>
          </w:p>
        </w:tc>
        <w:tc>
          <w:tcPr>
            <w:tcW w:w="8470" w:type="dxa"/>
          </w:tcPr>
          <w:p w:rsidR="00FA2769" w:rsidRPr="000966F4" w:rsidRDefault="00FA2769" w:rsidP="00FA2769">
            <w:pPr>
              <w:topLinePunct/>
              <w:snapToGrid w:val="0"/>
              <w:ind w:leftChars="51" w:left="124" w:rightChars="54" w:right="130" w:hanging="2"/>
              <w:jc w:val="both"/>
              <w:rPr>
                <w:rFonts w:ascii="標楷體" w:eastAsia="標楷體" w:hAnsi="標楷體"/>
                <w:bCs/>
                <w:color w:val="000000"/>
              </w:rPr>
            </w:pPr>
            <w:r w:rsidRPr="000966F4">
              <w:rPr>
                <w:rFonts w:ascii="標楷體" w:eastAsia="標楷體" w:hAnsi="標楷體" w:cs="細明體"/>
                <w:color w:val="000000"/>
                <w:kern w:val="0"/>
              </w:rPr>
              <w:t>申請支付款項，應本誠信原則對所提出之支出憑證之支付事實真實性負責，如有不實應負相關責任</w:t>
            </w:r>
            <w:r w:rsidRPr="000966F4">
              <w:rPr>
                <w:rFonts w:ascii="標楷體" w:eastAsia="標楷體" w:hAnsi="標楷體" w:cs="細明體" w:hint="eastAsia"/>
                <w:color w:val="000000"/>
                <w:kern w:val="0"/>
              </w:rPr>
              <w:t>（如貪污治罪條例或相關刑事責任）。</w:t>
            </w:r>
          </w:p>
        </w:tc>
        <w:tc>
          <w:tcPr>
            <w:tcW w:w="1156" w:type="dxa"/>
          </w:tcPr>
          <w:p w:rsidR="00FA2769" w:rsidRPr="000966F4" w:rsidRDefault="00FA2769"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410"/>
          <w:jc w:val="center"/>
        </w:trPr>
        <w:tc>
          <w:tcPr>
            <w:tcW w:w="557" w:type="dxa"/>
            <w:vAlign w:val="center"/>
          </w:tcPr>
          <w:p w:rsidR="00FA2769" w:rsidRPr="000966F4" w:rsidRDefault="00FA2769" w:rsidP="00403360">
            <w:pPr>
              <w:topLinePunct/>
              <w:snapToGrid w:val="0"/>
              <w:jc w:val="center"/>
              <w:rPr>
                <w:rFonts w:ascii="標楷體" w:eastAsia="標楷體" w:hAnsi="標楷體"/>
                <w:bCs/>
                <w:color w:val="000000"/>
              </w:rPr>
            </w:pPr>
            <w:r w:rsidRPr="000966F4">
              <w:rPr>
                <w:rFonts w:ascii="標楷體" w:eastAsia="標楷體" w:hAnsi="標楷體" w:hint="eastAsia"/>
                <w:bCs/>
                <w:color w:val="000000"/>
              </w:rPr>
              <w:t>4.</w:t>
            </w:r>
          </w:p>
        </w:tc>
        <w:tc>
          <w:tcPr>
            <w:tcW w:w="8470" w:type="dxa"/>
          </w:tcPr>
          <w:p w:rsidR="00FA2769" w:rsidRPr="00A85849" w:rsidRDefault="00FA2769" w:rsidP="00744BFB">
            <w:pPr>
              <w:tabs>
                <w:tab w:val="left" w:pos="709"/>
              </w:tabs>
              <w:topLinePunct/>
              <w:snapToGrid w:val="0"/>
              <w:ind w:leftChars="42" w:left="101"/>
              <w:jc w:val="both"/>
              <w:rPr>
                <w:rFonts w:ascii="標楷體" w:eastAsia="標楷體" w:hAnsi="標楷體"/>
                <w:bCs/>
                <w:strike/>
                <w:color w:val="FF0000"/>
              </w:rPr>
            </w:pPr>
            <w:r w:rsidRPr="000966F4">
              <w:rPr>
                <w:rFonts w:ascii="標楷體" w:eastAsia="標楷體" w:hAnsi="標楷體" w:hint="eastAsia"/>
                <w:bCs/>
                <w:color w:val="000000"/>
              </w:rPr>
              <w:t>計畫</w:t>
            </w:r>
            <w:r>
              <w:rPr>
                <w:rFonts w:ascii="標楷體" w:eastAsia="標楷體" w:hAnsi="標楷體" w:hint="eastAsia"/>
                <w:bCs/>
                <w:color w:val="000000"/>
              </w:rPr>
              <w:t>所需人員</w:t>
            </w:r>
            <w:r w:rsidRPr="000966F4">
              <w:rPr>
                <w:rFonts w:ascii="標楷體" w:eastAsia="標楷體" w:hAnsi="標楷體" w:hint="eastAsia"/>
                <w:bCs/>
                <w:color w:val="000000"/>
              </w:rPr>
              <w:t>之進用</w:t>
            </w:r>
            <w:r>
              <w:rPr>
                <w:rFonts w:ascii="標楷體" w:eastAsia="標楷體" w:hAnsi="標楷體" w:hint="eastAsia"/>
                <w:bCs/>
                <w:color w:val="000000"/>
              </w:rPr>
              <w:t>應</w:t>
            </w:r>
            <w:r w:rsidRPr="000966F4">
              <w:rPr>
                <w:rFonts w:ascii="標楷體" w:eastAsia="標楷體" w:hAnsi="標楷體" w:hint="eastAsia"/>
                <w:bCs/>
                <w:color w:val="000000"/>
              </w:rPr>
              <w:t>符合利益迴避原則：如計畫主持人、共同主持人、各機關長官（首長、校長等）及其各級主管長官（各級單位主管、院長、系所主任等）之配偶及三親等以內血親、姻親應迴避進用為該計畫之臨時（或約用）人員（含專任助理、兼任助理及臨時工等助理人員）。</w:t>
            </w:r>
          </w:p>
        </w:tc>
        <w:tc>
          <w:tcPr>
            <w:tcW w:w="1156" w:type="dxa"/>
          </w:tcPr>
          <w:p w:rsidR="00FA2769" w:rsidRPr="000966F4" w:rsidRDefault="00FA2769"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410"/>
          <w:jc w:val="center"/>
        </w:trPr>
        <w:tc>
          <w:tcPr>
            <w:tcW w:w="557" w:type="dxa"/>
            <w:vAlign w:val="center"/>
          </w:tcPr>
          <w:p w:rsidR="00FA2769" w:rsidRPr="000966F4" w:rsidRDefault="00FA2769" w:rsidP="00403360">
            <w:pPr>
              <w:snapToGrid w:val="0"/>
              <w:jc w:val="center"/>
              <w:rPr>
                <w:rFonts w:ascii="標楷體" w:eastAsia="標楷體" w:hAnsi="標楷體"/>
                <w:color w:val="000000"/>
              </w:rPr>
            </w:pPr>
            <w:r w:rsidRPr="000966F4">
              <w:rPr>
                <w:rFonts w:ascii="標楷體" w:eastAsia="標楷體" w:hAnsi="標楷體" w:hint="eastAsia"/>
                <w:color w:val="000000"/>
              </w:rPr>
              <w:t>5.</w:t>
            </w:r>
          </w:p>
        </w:tc>
        <w:tc>
          <w:tcPr>
            <w:tcW w:w="8470" w:type="dxa"/>
          </w:tcPr>
          <w:p w:rsidR="00FA2769" w:rsidRPr="000966F4" w:rsidRDefault="00FA2769" w:rsidP="007B103C">
            <w:pPr>
              <w:topLinePunct/>
              <w:snapToGrid w:val="0"/>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執行補助或委辦計畫辦理財產、物品或勞務採購時，應依照政府採購法</w:t>
            </w:r>
            <w:r w:rsidR="00A85849" w:rsidRPr="007B103C">
              <w:rPr>
                <w:rFonts w:ascii="標楷體" w:eastAsia="標楷體" w:hAnsi="標楷體" w:hint="eastAsia"/>
                <w:bCs/>
              </w:rPr>
              <w:t>及</w:t>
            </w:r>
            <w:r w:rsidR="00A85849" w:rsidRPr="007B103C">
              <w:rPr>
                <w:rFonts w:ascii="標楷體" w:eastAsia="標楷體" w:hAnsi="標楷體"/>
                <w:bCs/>
              </w:rPr>
              <w:t>黎明技術學院營繕工程及財物採購辦法</w:t>
            </w:r>
            <w:r w:rsidRPr="007B103C">
              <w:rPr>
                <w:rFonts w:ascii="標楷體" w:eastAsia="標楷體" w:hAnsi="標楷體" w:hint="eastAsia"/>
                <w:bCs/>
              </w:rPr>
              <w:t>、撥款單位規定及科研採購等相關規定辦理。除</w:t>
            </w:r>
            <w:r w:rsidR="00A85849" w:rsidRPr="007B103C">
              <w:rPr>
                <w:rFonts w:ascii="標楷體" w:eastAsia="標楷體" w:hAnsi="標楷體" w:hint="eastAsia"/>
                <w:bCs/>
              </w:rPr>
              <w:t>科技部</w:t>
            </w:r>
            <w:r w:rsidRPr="007B103C">
              <w:rPr>
                <w:rFonts w:ascii="標楷體" w:eastAsia="標楷體" w:hAnsi="標楷體" w:hint="eastAsia"/>
                <w:bCs/>
              </w:rPr>
              <w:t>科研經費採購依政府補助科學技術研究發展採購監督管理辦法或採購法辦理外，超過10萬元之採購案應依照政府採購法辦理招標，不得意圖規避政府採購法，分批辦理採購。</w:t>
            </w:r>
          </w:p>
        </w:tc>
        <w:tc>
          <w:tcPr>
            <w:tcW w:w="1156" w:type="dxa"/>
          </w:tcPr>
          <w:p w:rsidR="00FA2769" w:rsidRPr="000966F4" w:rsidRDefault="00FA2769"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410"/>
          <w:jc w:val="center"/>
        </w:trPr>
        <w:tc>
          <w:tcPr>
            <w:tcW w:w="557" w:type="dxa"/>
            <w:vAlign w:val="center"/>
          </w:tcPr>
          <w:p w:rsidR="00FA2769" w:rsidRPr="000966F4" w:rsidRDefault="00FA2769" w:rsidP="00403360">
            <w:pPr>
              <w:snapToGrid w:val="0"/>
              <w:jc w:val="center"/>
              <w:rPr>
                <w:rFonts w:ascii="標楷體" w:eastAsia="標楷體" w:hAnsi="標楷體"/>
                <w:color w:val="000000"/>
              </w:rPr>
            </w:pPr>
            <w:r w:rsidRPr="000966F4">
              <w:rPr>
                <w:rFonts w:ascii="標楷體" w:eastAsia="標楷體" w:hAnsi="標楷體" w:hint="eastAsia"/>
                <w:color w:val="000000"/>
              </w:rPr>
              <w:t>6.</w:t>
            </w:r>
          </w:p>
        </w:tc>
        <w:tc>
          <w:tcPr>
            <w:tcW w:w="8470" w:type="dxa"/>
          </w:tcPr>
          <w:p w:rsidR="00FA2769" w:rsidRPr="000966F4" w:rsidRDefault="00FA2769" w:rsidP="002055C0">
            <w:pPr>
              <w:topLinePunct/>
              <w:snapToGrid w:val="0"/>
              <w:ind w:leftChars="51" w:left="124" w:rightChars="54" w:right="130" w:hanging="2"/>
              <w:jc w:val="both"/>
              <w:rPr>
                <w:rFonts w:ascii="標楷體" w:eastAsia="標楷體" w:hAnsi="標楷體"/>
                <w:bCs/>
                <w:color w:val="000000"/>
              </w:rPr>
            </w:pPr>
            <w:r w:rsidRPr="00BA75F8">
              <w:rPr>
                <w:rFonts w:ascii="標楷體" w:eastAsia="標楷體" w:hAnsi="標楷體" w:hint="eastAsia"/>
                <w:bCs/>
                <w:color w:val="000000"/>
              </w:rPr>
              <w:t>教育部補助及委辦經費核撥結報作業要點</w:t>
            </w:r>
            <w:r>
              <w:rPr>
                <w:rFonts w:ascii="標楷體" w:eastAsia="標楷體" w:hAnsi="標楷體" w:hint="eastAsia"/>
                <w:bCs/>
                <w:color w:val="000000"/>
              </w:rPr>
              <w:t>第六點規定：「</w:t>
            </w:r>
            <w:r w:rsidRPr="00BA75F8">
              <w:rPr>
                <w:rFonts w:ascii="標楷體" w:eastAsia="標楷體" w:hAnsi="標楷體"/>
                <w:bCs/>
                <w:color w:val="000000"/>
              </w:rPr>
              <w:t>除零用金限額以下之小額付款得由</w:t>
            </w:r>
            <w:r w:rsidRPr="00BA75F8">
              <w:rPr>
                <w:rFonts w:ascii="標楷體" w:eastAsia="標楷體" w:hAnsi="標楷體" w:hint="eastAsia"/>
                <w:bCs/>
                <w:color w:val="000000"/>
              </w:rPr>
              <w:t>相關</w:t>
            </w:r>
            <w:r w:rsidRPr="00BA75F8">
              <w:rPr>
                <w:rFonts w:ascii="標楷體" w:eastAsia="標楷體" w:hAnsi="標楷體"/>
                <w:bCs/>
                <w:color w:val="000000"/>
              </w:rPr>
              <w:t>人員</w:t>
            </w:r>
            <w:r w:rsidRPr="00BA75F8">
              <w:rPr>
                <w:rFonts w:ascii="標楷體" w:eastAsia="標楷體" w:hAnsi="標楷體" w:hint="eastAsia"/>
                <w:bCs/>
                <w:color w:val="000000"/>
              </w:rPr>
              <w:t>墊</w:t>
            </w:r>
            <w:r w:rsidRPr="00BA75F8">
              <w:rPr>
                <w:rFonts w:ascii="標楷體" w:eastAsia="標楷體" w:hAnsi="標楷體"/>
                <w:bCs/>
                <w:color w:val="000000"/>
              </w:rPr>
              <w:t>付外，</w:t>
            </w:r>
            <w:r w:rsidRPr="00BA75F8">
              <w:rPr>
                <w:rFonts w:ascii="標楷體" w:eastAsia="標楷體" w:hAnsi="標楷體" w:hint="eastAsia"/>
                <w:bCs/>
                <w:color w:val="000000"/>
              </w:rPr>
              <w:t>其餘</w:t>
            </w:r>
            <w:r w:rsidRPr="00BA75F8">
              <w:rPr>
                <w:rFonts w:ascii="標楷體" w:eastAsia="標楷體" w:hAnsi="標楷體"/>
                <w:bCs/>
                <w:color w:val="000000"/>
              </w:rPr>
              <w:t>均應</w:t>
            </w:r>
            <w:r w:rsidRPr="00BA75F8">
              <w:rPr>
                <w:rFonts w:ascii="標楷體" w:eastAsia="標楷體" w:hAnsi="標楷體" w:hint="eastAsia"/>
                <w:bCs/>
                <w:color w:val="000000"/>
              </w:rPr>
              <w:t>逕付受款人，不得由計畫主持人或機關人員代領轉付。</w:t>
            </w:r>
            <w:r>
              <w:rPr>
                <w:rFonts w:ascii="標楷體" w:eastAsia="標楷體" w:hAnsi="標楷體" w:hint="eastAsia"/>
                <w:bCs/>
                <w:color w:val="000000"/>
              </w:rPr>
              <w:t>」</w:t>
            </w:r>
            <w:r w:rsidRPr="000966F4">
              <w:rPr>
                <w:rFonts w:ascii="標楷體" w:eastAsia="標楷體" w:hAnsi="標楷體" w:hint="eastAsia"/>
                <w:bCs/>
                <w:color w:val="000000"/>
              </w:rPr>
              <w:t>因此，</w:t>
            </w:r>
            <w:r w:rsidRPr="007B103C">
              <w:rPr>
                <w:rFonts w:ascii="標楷體" w:eastAsia="標楷體" w:hAnsi="標楷體" w:hint="eastAsia"/>
                <w:bCs/>
              </w:rPr>
              <w:t>超過</w:t>
            </w:r>
            <w:r w:rsidR="002055C0" w:rsidRPr="007B103C">
              <w:rPr>
                <w:rFonts w:ascii="標楷體" w:eastAsia="標楷體" w:hAnsi="標楷體" w:hint="eastAsia"/>
                <w:bCs/>
              </w:rPr>
              <w:t>5,000</w:t>
            </w:r>
            <w:r w:rsidRPr="007B103C">
              <w:rPr>
                <w:rFonts w:ascii="標楷體" w:eastAsia="標楷體" w:hAnsi="標楷體" w:hint="eastAsia"/>
                <w:bCs/>
              </w:rPr>
              <w:t>元（零用金限額）</w:t>
            </w:r>
            <w:r>
              <w:rPr>
                <w:rFonts w:ascii="標楷體" w:eastAsia="標楷體" w:hAnsi="標楷體" w:hint="eastAsia"/>
                <w:bCs/>
                <w:color w:val="000000"/>
              </w:rPr>
              <w:t>者依規定應逕付廠商，若有特殊狀況，須由承辦人先行預借或墊付者，應專案簽准後辦理。</w:t>
            </w:r>
          </w:p>
        </w:tc>
        <w:tc>
          <w:tcPr>
            <w:tcW w:w="1156" w:type="dxa"/>
          </w:tcPr>
          <w:p w:rsidR="00FA2769" w:rsidRPr="000966F4" w:rsidRDefault="00FA2769"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410"/>
          <w:jc w:val="center"/>
        </w:trPr>
        <w:tc>
          <w:tcPr>
            <w:tcW w:w="557" w:type="dxa"/>
            <w:vAlign w:val="center"/>
          </w:tcPr>
          <w:p w:rsidR="00FA2769" w:rsidRPr="000966F4" w:rsidRDefault="00FA2769" w:rsidP="00403360">
            <w:pPr>
              <w:snapToGrid w:val="0"/>
              <w:jc w:val="center"/>
              <w:rPr>
                <w:rFonts w:ascii="標楷體" w:eastAsia="標楷體" w:hAnsi="標楷體"/>
                <w:color w:val="000000"/>
              </w:rPr>
            </w:pPr>
            <w:r w:rsidRPr="000966F4">
              <w:rPr>
                <w:rFonts w:ascii="標楷體" w:eastAsia="標楷體" w:hAnsi="標楷體" w:hint="eastAsia"/>
                <w:color w:val="000000"/>
              </w:rPr>
              <w:t>7.</w:t>
            </w:r>
          </w:p>
        </w:tc>
        <w:tc>
          <w:tcPr>
            <w:tcW w:w="8470" w:type="dxa"/>
          </w:tcPr>
          <w:p w:rsidR="00FA2769" w:rsidRPr="00BB3B85" w:rsidRDefault="00FA2769" w:rsidP="002C02E0">
            <w:pPr>
              <w:topLinePunct/>
              <w:snapToGrid w:val="0"/>
              <w:ind w:leftChars="51" w:left="124" w:rightChars="54" w:right="130" w:hanging="2"/>
              <w:jc w:val="both"/>
              <w:rPr>
                <w:rFonts w:ascii="標楷體" w:eastAsia="標楷體" w:hAnsi="標楷體"/>
                <w:bCs/>
              </w:rPr>
            </w:pPr>
            <w:r w:rsidRPr="00BB3B85">
              <w:rPr>
                <w:rFonts w:ascii="標楷體" w:eastAsia="標楷體" w:hAnsi="標楷體" w:hint="eastAsia"/>
                <w:bCs/>
              </w:rPr>
              <w:t>執行補助或委辦計畫應遵守撥款單位規定，如有疑慮，並可參閱</w:t>
            </w:r>
            <w:r w:rsidR="00F136F6">
              <w:rPr>
                <w:rFonts w:ascii="標楷體" w:eastAsia="標楷體" w:hAnsi="標楷體" w:hint="eastAsia"/>
                <w:bCs/>
              </w:rPr>
              <w:t>教</w:t>
            </w:r>
            <w:r w:rsidR="00F136F6">
              <w:rPr>
                <w:rFonts w:ascii="標楷體" w:eastAsia="標楷體" w:hAnsi="標楷體"/>
                <w:bCs/>
              </w:rPr>
              <w:t>育部</w:t>
            </w:r>
            <w:r w:rsidRPr="00BB3B85">
              <w:rPr>
                <w:rFonts w:ascii="標楷體" w:eastAsia="標楷體" w:hAnsi="標楷體" w:hint="eastAsia"/>
                <w:bCs/>
              </w:rPr>
              <w:t>「大學校院及教師辦理計畫經費核銷重要規定及作業釋疑」。</w:t>
            </w:r>
          </w:p>
        </w:tc>
        <w:tc>
          <w:tcPr>
            <w:tcW w:w="1156" w:type="dxa"/>
          </w:tcPr>
          <w:p w:rsidR="00FA2769" w:rsidRPr="000966F4" w:rsidRDefault="00FA2769"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410"/>
          <w:jc w:val="center"/>
        </w:trPr>
        <w:tc>
          <w:tcPr>
            <w:tcW w:w="557" w:type="dxa"/>
            <w:vAlign w:val="center"/>
          </w:tcPr>
          <w:p w:rsidR="00FA2769" w:rsidRPr="000966F4" w:rsidRDefault="00FA2769" w:rsidP="00403360">
            <w:pPr>
              <w:snapToGrid w:val="0"/>
              <w:jc w:val="center"/>
              <w:rPr>
                <w:rFonts w:ascii="標楷體" w:eastAsia="標楷體" w:hAnsi="標楷體"/>
                <w:color w:val="000000"/>
              </w:rPr>
            </w:pPr>
            <w:r>
              <w:rPr>
                <w:rFonts w:ascii="標楷體" w:eastAsia="標楷體" w:hAnsi="標楷體" w:hint="eastAsia"/>
                <w:color w:val="000000"/>
              </w:rPr>
              <w:t>8.</w:t>
            </w:r>
          </w:p>
        </w:tc>
        <w:tc>
          <w:tcPr>
            <w:tcW w:w="8470" w:type="dxa"/>
          </w:tcPr>
          <w:p w:rsidR="00FA2769" w:rsidRPr="000966F4" w:rsidRDefault="00FA2769" w:rsidP="00FA2769">
            <w:pPr>
              <w:topLinePunct/>
              <w:snapToGrid w:val="0"/>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w:t>
            </w:r>
            <w:r w:rsidRPr="00BA75F8">
              <w:rPr>
                <w:rFonts w:ascii="標楷體" w:eastAsia="標楷體" w:hAnsi="標楷體" w:hint="eastAsia"/>
                <w:bCs/>
                <w:color w:val="000000"/>
              </w:rPr>
              <w:t>經費</w:t>
            </w:r>
            <w:r>
              <w:rPr>
                <w:rFonts w:ascii="標楷體" w:eastAsia="標楷體" w:hAnsi="標楷體" w:hint="eastAsia"/>
                <w:bCs/>
                <w:color w:val="000000"/>
              </w:rPr>
              <w:t>超出預算或</w:t>
            </w:r>
            <w:r w:rsidRPr="00BA75F8">
              <w:rPr>
                <w:rFonts w:ascii="標楷體" w:eastAsia="標楷體" w:hAnsi="標楷體" w:hint="eastAsia"/>
                <w:bCs/>
                <w:color w:val="000000"/>
              </w:rPr>
              <w:t>結報</w:t>
            </w:r>
            <w:r>
              <w:rPr>
                <w:rFonts w:ascii="標楷體" w:eastAsia="標楷體" w:hAnsi="標楷體" w:hint="eastAsia"/>
                <w:bCs/>
                <w:color w:val="000000"/>
              </w:rPr>
              <w:t>核銷被要求繳回已</w:t>
            </w:r>
            <w:r w:rsidRPr="000966F4">
              <w:rPr>
                <w:rFonts w:ascii="標楷體" w:eastAsia="標楷體" w:hAnsi="標楷體" w:hint="eastAsia"/>
                <w:bCs/>
                <w:color w:val="000000"/>
              </w:rPr>
              <w:t>執行</w:t>
            </w:r>
            <w:r>
              <w:rPr>
                <w:rFonts w:ascii="標楷體" w:eastAsia="標楷體" w:hAnsi="標楷體" w:hint="eastAsia"/>
                <w:bCs/>
                <w:color w:val="000000"/>
              </w:rPr>
              <w:t>之款項須由</w:t>
            </w:r>
            <w:r w:rsidRPr="000966F4">
              <w:rPr>
                <w:rFonts w:ascii="標楷體" w:eastAsia="標楷體" w:hAnsi="標楷體" w:hint="eastAsia"/>
                <w:bCs/>
                <w:color w:val="000000"/>
              </w:rPr>
              <w:t>計畫主持人</w:t>
            </w:r>
            <w:r>
              <w:rPr>
                <w:rFonts w:ascii="標楷體" w:eastAsia="標楷體" w:hAnsi="標楷體" w:hint="eastAsia"/>
                <w:bCs/>
                <w:color w:val="000000"/>
              </w:rPr>
              <w:t>自行承擔。</w:t>
            </w:r>
          </w:p>
        </w:tc>
        <w:tc>
          <w:tcPr>
            <w:tcW w:w="1156" w:type="dxa"/>
          </w:tcPr>
          <w:p w:rsidR="00FA2769" w:rsidRPr="000966F4" w:rsidRDefault="00FA2769"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410"/>
          <w:jc w:val="center"/>
        </w:trPr>
        <w:tc>
          <w:tcPr>
            <w:tcW w:w="557" w:type="dxa"/>
            <w:vAlign w:val="center"/>
          </w:tcPr>
          <w:p w:rsidR="00FA2769" w:rsidRPr="000966F4" w:rsidRDefault="00FA2769" w:rsidP="00403360">
            <w:pPr>
              <w:snapToGrid w:val="0"/>
              <w:jc w:val="center"/>
              <w:rPr>
                <w:rFonts w:ascii="標楷體" w:eastAsia="標楷體" w:hAnsi="標楷體"/>
                <w:color w:val="000000"/>
              </w:rPr>
            </w:pPr>
            <w:r>
              <w:rPr>
                <w:rFonts w:ascii="標楷體" w:eastAsia="標楷體" w:hAnsi="標楷體" w:hint="eastAsia"/>
                <w:color w:val="000000"/>
              </w:rPr>
              <w:t>9.</w:t>
            </w:r>
          </w:p>
        </w:tc>
        <w:tc>
          <w:tcPr>
            <w:tcW w:w="8470" w:type="dxa"/>
          </w:tcPr>
          <w:p w:rsidR="00FA2769" w:rsidRPr="000966F4" w:rsidRDefault="00FA2769" w:rsidP="00FA2769">
            <w:pPr>
              <w:topLinePunct/>
              <w:snapToGrid w:val="0"/>
              <w:ind w:leftChars="51" w:left="124" w:rightChars="54" w:right="130" w:hanging="2"/>
              <w:jc w:val="both"/>
              <w:rPr>
                <w:rFonts w:ascii="標楷體" w:eastAsia="標楷體" w:hAnsi="標楷體"/>
                <w:bCs/>
                <w:color w:val="000000"/>
              </w:rPr>
            </w:pPr>
            <w:r>
              <w:rPr>
                <w:rFonts w:ascii="標楷體" w:eastAsia="標楷體" w:hAnsi="標楷體" w:hint="eastAsia"/>
                <w:bCs/>
                <w:color w:val="000000"/>
              </w:rPr>
              <w:t>計</w:t>
            </w:r>
            <w:r>
              <w:rPr>
                <w:rFonts w:ascii="標楷體" w:eastAsia="標楷體" w:hAnsi="標楷體"/>
                <w:bCs/>
                <w:color w:val="000000"/>
              </w:rPr>
              <w:t>畫</w:t>
            </w:r>
            <w:r>
              <w:rPr>
                <w:rFonts w:ascii="標楷體" w:eastAsia="標楷體" w:hAnsi="標楷體" w:hint="eastAsia"/>
                <w:bCs/>
                <w:color w:val="000000"/>
              </w:rPr>
              <w:t>案</w:t>
            </w:r>
            <w:r w:rsidRPr="002C327E">
              <w:rPr>
                <w:rFonts w:ascii="標楷體" w:eastAsia="標楷體" w:hAnsi="標楷體" w:hint="eastAsia"/>
                <w:bCs/>
                <w:color w:val="000000"/>
              </w:rPr>
              <w:t>若無法於計畫截止日或專簽獲准之展延期程後兩個月內完成結案(含入帳證明、核銷及繳交成果報告)</w:t>
            </w:r>
            <w:r>
              <w:rPr>
                <w:rFonts w:ascii="標楷體" w:eastAsia="標楷體" w:hAnsi="標楷體" w:hint="eastAsia"/>
                <w:bCs/>
                <w:color w:val="000000"/>
              </w:rPr>
              <w:t>，經承辦單位催繳未果並認列為無法完成結案者，視同未結案</w:t>
            </w:r>
            <w:r w:rsidRPr="002C327E">
              <w:rPr>
                <w:rFonts w:ascii="標楷體" w:eastAsia="標楷體" w:hAnsi="標楷體" w:hint="eastAsia"/>
                <w:bCs/>
                <w:color w:val="000000"/>
              </w:rPr>
              <w:t>，應取消教師因該案衍生之相關權益並提報校教評會議</w:t>
            </w:r>
            <w:r>
              <w:rPr>
                <w:rFonts w:ascii="標楷體" w:eastAsia="標楷體" w:hAnsi="標楷體" w:hint="eastAsia"/>
                <w:bCs/>
                <w:color w:val="000000"/>
              </w:rPr>
              <w:t>議</w:t>
            </w:r>
            <w:r w:rsidRPr="002C327E">
              <w:rPr>
                <w:rFonts w:ascii="標楷體" w:eastAsia="標楷體" w:hAnsi="標楷體" w:hint="eastAsia"/>
                <w:bCs/>
                <w:color w:val="000000"/>
              </w:rPr>
              <w:t>處</w:t>
            </w:r>
            <w:r>
              <w:rPr>
                <w:rFonts w:ascii="標楷體" w:eastAsia="標楷體" w:hAnsi="標楷體" w:hint="eastAsia"/>
                <w:bCs/>
                <w:color w:val="000000"/>
              </w:rPr>
              <w:t>，</w:t>
            </w:r>
            <w:r>
              <w:rPr>
                <w:rFonts w:ascii="標楷體" w:eastAsia="標楷體" w:hAnsi="標楷體"/>
                <w:bCs/>
                <w:color w:val="000000"/>
              </w:rPr>
              <w:t>並於教師評鑑研究類扣分</w:t>
            </w:r>
            <w:r w:rsidRPr="002C327E">
              <w:rPr>
                <w:rFonts w:ascii="標楷體" w:eastAsia="標楷體" w:hAnsi="標楷體" w:hint="eastAsia"/>
                <w:bCs/>
                <w:color w:val="000000"/>
              </w:rPr>
              <w:t>。</w:t>
            </w:r>
          </w:p>
        </w:tc>
        <w:tc>
          <w:tcPr>
            <w:tcW w:w="1156" w:type="dxa"/>
          </w:tcPr>
          <w:p w:rsidR="00FA2769" w:rsidRPr="000966F4" w:rsidRDefault="00FA2769"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410"/>
          <w:jc w:val="center"/>
        </w:trPr>
        <w:tc>
          <w:tcPr>
            <w:tcW w:w="557" w:type="dxa"/>
            <w:vAlign w:val="center"/>
          </w:tcPr>
          <w:p w:rsidR="00FA2769" w:rsidRDefault="00FA2769" w:rsidP="00403360">
            <w:pPr>
              <w:snapToGrid w:val="0"/>
              <w:jc w:val="center"/>
              <w:rPr>
                <w:rFonts w:ascii="標楷體" w:eastAsia="標楷體" w:hAnsi="標楷體"/>
                <w:color w:val="000000"/>
              </w:rPr>
            </w:pPr>
            <w:r>
              <w:rPr>
                <w:rFonts w:ascii="標楷體" w:eastAsia="標楷體" w:hAnsi="標楷體" w:hint="eastAsia"/>
                <w:color w:val="000000"/>
              </w:rPr>
              <w:t>10.</w:t>
            </w:r>
          </w:p>
        </w:tc>
        <w:tc>
          <w:tcPr>
            <w:tcW w:w="8470" w:type="dxa"/>
          </w:tcPr>
          <w:p w:rsidR="00863577" w:rsidRPr="00DB0D00" w:rsidRDefault="00F4146B" w:rsidP="007B103C">
            <w:pPr>
              <w:topLinePunct/>
              <w:snapToGrid w:val="0"/>
              <w:ind w:leftChars="51" w:left="124" w:rightChars="54" w:right="130" w:hanging="2"/>
              <w:jc w:val="both"/>
              <w:rPr>
                <w:rFonts w:ascii="標楷體" w:eastAsia="標楷體" w:hAnsi="標楷體"/>
                <w:bCs/>
                <w:color w:val="FF0000"/>
              </w:rPr>
            </w:pPr>
            <w:r w:rsidRPr="002C327E">
              <w:rPr>
                <w:rFonts w:ascii="標楷體" w:eastAsia="標楷體" w:hAnsi="標楷體" w:hint="eastAsia"/>
                <w:bCs/>
                <w:color w:val="000000"/>
              </w:rPr>
              <w:t>計畫</w:t>
            </w:r>
            <w:r>
              <w:rPr>
                <w:rFonts w:ascii="標楷體" w:eastAsia="標楷體" w:hAnsi="標楷體" w:hint="eastAsia"/>
                <w:bCs/>
                <w:color w:val="000000"/>
              </w:rPr>
              <w:t>採購之設備、</w:t>
            </w:r>
            <w:r w:rsidRPr="007B103C">
              <w:rPr>
                <w:rFonts w:ascii="標楷體" w:eastAsia="標楷體" w:hAnsi="標楷體" w:hint="eastAsia"/>
                <w:bCs/>
              </w:rPr>
              <w:t>圖書</w:t>
            </w:r>
            <w:r>
              <w:rPr>
                <w:rFonts w:ascii="標楷體" w:eastAsia="標楷體" w:hAnsi="標楷體" w:hint="eastAsia"/>
                <w:bCs/>
                <w:color w:val="000000"/>
              </w:rPr>
              <w:t>或衍伸之智慧財產，皆屬學校所有。惟</w:t>
            </w:r>
            <w:r w:rsidRPr="00BB3B85">
              <w:rPr>
                <w:rFonts w:ascii="標楷體" w:eastAsia="標楷體" w:hAnsi="標楷體" w:hint="eastAsia"/>
                <w:bCs/>
              </w:rPr>
              <w:t>研究成果著作權與專利權歸屬，</w:t>
            </w:r>
            <w:r>
              <w:rPr>
                <w:rFonts w:ascii="標楷體" w:eastAsia="標楷體" w:hAnsi="標楷體" w:hint="eastAsia"/>
                <w:bCs/>
              </w:rPr>
              <w:t>得</w:t>
            </w:r>
            <w:r w:rsidRPr="00BB3B85">
              <w:rPr>
                <w:rFonts w:ascii="標楷體" w:eastAsia="標楷體" w:hAnsi="標楷體" w:hint="eastAsia"/>
                <w:bCs/>
              </w:rPr>
              <w:t>另視需要於合約明訂之。</w:t>
            </w:r>
          </w:p>
        </w:tc>
        <w:tc>
          <w:tcPr>
            <w:tcW w:w="1156" w:type="dxa"/>
          </w:tcPr>
          <w:p w:rsidR="00FA2769" w:rsidRPr="000966F4" w:rsidRDefault="00FA2769"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410"/>
          <w:jc w:val="center"/>
        </w:trPr>
        <w:tc>
          <w:tcPr>
            <w:tcW w:w="557" w:type="dxa"/>
            <w:vAlign w:val="center"/>
          </w:tcPr>
          <w:p w:rsidR="00FA2769" w:rsidRDefault="00FA2769" w:rsidP="00403360">
            <w:pPr>
              <w:snapToGrid w:val="0"/>
              <w:jc w:val="center"/>
              <w:rPr>
                <w:rFonts w:ascii="標楷體" w:eastAsia="標楷體" w:hAnsi="標楷體"/>
                <w:color w:val="000000"/>
              </w:rPr>
            </w:pPr>
            <w:r>
              <w:rPr>
                <w:rFonts w:ascii="標楷體" w:eastAsia="標楷體" w:hAnsi="標楷體" w:hint="eastAsia"/>
                <w:color w:val="000000"/>
              </w:rPr>
              <w:t>11.</w:t>
            </w:r>
          </w:p>
        </w:tc>
        <w:tc>
          <w:tcPr>
            <w:tcW w:w="8470" w:type="dxa"/>
          </w:tcPr>
          <w:p w:rsidR="00FA2769" w:rsidRDefault="00FA2769" w:rsidP="00B42D2D">
            <w:pPr>
              <w:topLinePunct/>
              <w:snapToGrid w:val="0"/>
              <w:ind w:leftChars="51" w:left="124" w:rightChars="54" w:right="130" w:hanging="2"/>
              <w:jc w:val="both"/>
              <w:rPr>
                <w:rFonts w:ascii="標楷體" w:eastAsia="標楷體" w:hAnsi="標楷體"/>
                <w:bCs/>
                <w:color w:val="000000"/>
              </w:rPr>
            </w:pPr>
            <w:r>
              <w:rPr>
                <w:rFonts w:ascii="標楷體" w:eastAsia="標楷體" w:hAnsi="標楷體" w:hint="eastAsia"/>
                <w:bCs/>
                <w:color w:val="000000"/>
              </w:rPr>
              <w:t>計畫約用助理人員</w:t>
            </w:r>
            <w:r w:rsidR="002C02E0">
              <w:rPr>
                <w:rFonts w:ascii="標楷體" w:eastAsia="標楷體" w:hAnsi="標楷體" w:hint="eastAsia"/>
                <w:bCs/>
                <w:color w:val="000000"/>
              </w:rPr>
              <w:t>(</w:t>
            </w:r>
            <w:r w:rsidR="000A2A13">
              <w:rPr>
                <w:rFonts w:ascii="標楷體" w:eastAsia="標楷體" w:hAnsi="標楷體" w:hint="eastAsia"/>
                <w:bCs/>
                <w:color w:val="000000"/>
              </w:rPr>
              <w:t>含</w:t>
            </w:r>
            <w:r w:rsidR="002C02E0">
              <w:rPr>
                <w:rFonts w:ascii="標楷體" w:eastAsia="標楷體" w:hAnsi="標楷體" w:hint="eastAsia"/>
                <w:bCs/>
                <w:color w:val="000000"/>
              </w:rPr>
              <w:t>校外兼任人員)</w:t>
            </w:r>
            <w:r>
              <w:rPr>
                <w:rFonts w:ascii="標楷體" w:eastAsia="標楷體" w:hAnsi="標楷體" w:hint="eastAsia"/>
                <w:bCs/>
                <w:color w:val="000000"/>
              </w:rPr>
              <w:t>若有勞雇關係則適用勞動基準法，應以契約與助理人員明定約用期間有關工作時間、內容、酬金、差假、兼職限制等等各項相關權利義務，並依規定辦理相關勞、退、健保作業</w:t>
            </w:r>
            <w:r w:rsidR="00B42D2D">
              <w:rPr>
                <w:rFonts w:ascii="標楷體" w:eastAsia="標楷體" w:hAnsi="標楷體" w:hint="eastAsia"/>
                <w:bCs/>
                <w:color w:val="000000"/>
              </w:rPr>
              <w:t>，</w:t>
            </w:r>
            <w:r w:rsidR="00B42D2D" w:rsidRPr="007B103C">
              <w:rPr>
                <w:rFonts w:ascii="標楷體" w:eastAsia="標楷體" w:hAnsi="標楷體" w:hint="eastAsia"/>
                <w:bCs/>
                <w:color w:val="000000"/>
              </w:rPr>
              <w:t>並於計畫經費編列相關費用。</w:t>
            </w:r>
          </w:p>
        </w:tc>
        <w:tc>
          <w:tcPr>
            <w:tcW w:w="1156" w:type="dxa"/>
          </w:tcPr>
          <w:p w:rsidR="00FA2769" w:rsidRPr="000966F4" w:rsidRDefault="00FA2769"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FA2769" w:rsidRPr="000966F4" w:rsidTr="00403360">
        <w:trPr>
          <w:trHeight w:val="410"/>
          <w:jc w:val="center"/>
        </w:trPr>
        <w:tc>
          <w:tcPr>
            <w:tcW w:w="557" w:type="dxa"/>
            <w:vAlign w:val="center"/>
          </w:tcPr>
          <w:p w:rsidR="00FA2769" w:rsidRDefault="00FA2769" w:rsidP="00403360">
            <w:pPr>
              <w:snapToGrid w:val="0"/>
              <w:jc w:val="center"/>
              <w:rPr>
                <w:rFonts w:ascii="標楷體" w:eastAsia="標楷體" w:hAnsi="標楷體"/>
                <w:color w:val="000000"/>
              </w:rPr>
            </w:pPr>
            <w:r>
              <w:rPr>
                <w:rFonts w:ascii="標楷體" w:eastAsia="標楷體" w:hAnsi="標楷體" w:hint="eastAsia"/>
                <w:color w:val="000000"/>
              </w:rPr>
              <w:t>12.</w:t>
            </w:r>
          </w:p>
        </w:tc>
        <w:tc>
          <w:tcPr>
            <w:tcW w:w="8470" w:type="dxa"/>
          </w:tcPr>
          <w:p w:rsidR="00FA2769" w:rsidRPr="002055C0" w:rsidRDefault="00744BFB" w:rsidP="00FA2769">
            <w:pPr>
              <w:topLinePunct/>
              <w:snapToGrid w:val="0"/>
              <w:ind w:leftChars="51" w:left="124" w:rightChars="54" w:right="130" w:hanging="2"/>
              <w:jc w:val="both"/>
              <w:rPr>
                <w:rFonts w:ascii="標楷體" w:eastAsia="標楷體" w:hAnsi="標楷體"/>
                <w:bCs/>
                <w:strike/>
                <w:color w:val="FF0000"/>
              </w:rPr>
            </w:pPr>
            <w:r>
              <w:rPr>
                <w:rFonts w:ascii="標楷體" w:eastAsia="標楷體" w:hAnsi="標楷體" w:hint="eastAsia"/>
                <w:bCs/>
                <w:color w:val="000000"/>
              </w:rPr>
              <w:t>計</w:t>
            </w:r>
            <w:r>
              <w:rPr>
                <w:rFonts w:ascii="標楷體" w:eastAsia="標楷體" w:hAnsi="標楷體"/>
                <w:bCs/>
                <w:color w:val="000000"/>
              </w:rPr>
              <w:t>畫執行應符合學術倫理</w:t>
            </w:r>
            <w:r>
              <w:rPr>
                <w:rFonts w:ascii="標楷體" w:eastAsia="標楷體" w:hAnsi="標楷體" w:hint="eastAsia"/>
                <w:bCs/>
                <w:color w:val="000000"/>
              </w:rPr>
              <w:t>規</w:t>
            </w:r>
            <w:r>
              <w:rPr>
                <w:rFonts w:ascii="標楷體" w:eastAsia="標楷體" w:hAnsi="標楷體"/>
                <w:bCs/>
                <w:color w:val="000000"/>
              </w:rPr>
              <w:t>範。</w:t>
            </w:r>
            <w:r w:rsidRPr="00FA2769">
              <w:rPr>
                <w:rFonts w:ascii="標楷體" w:eastAsia="標楷體" w:hAnsi="標楷體" w:hint="eastAsia"/>
                <w:bCs/>
                <w:color w:val="000000"/>
              </w:rPr>
              <w:t>所有相關計畫人員</w:t>
            </w:r>
            <w:r>
              <w:rPr>
                <w:rFonts w:ascii="標楷體" w:eastAsia="標楷體" w:hAnsi="標楷體" w:hint="eastAsia"/>
                <w:bCs/>
                <w:color w:val="000000"/>
              </w:rPr>
              <w:t>應</w:t>
            </w:r>
            <w:r w:rsidRPr="00FA2769">
              <w:rPr>
                <w:rFonts w:ascii="標楷體" w:eastAsia="標楷體" w:hAnsi="標楷體" w:hint="eastAsia"/>
                <w:bCs/>
                <w:color w:val="000000"/>
              </w:rPr>
              <w:t>檢附完成至少六小時學術倫理教育課程研習之證明</w:t>
            </w:r>
            <w:r>
              <w:rPr>
                <w:rFonts w:ascii="標楷體" w:eastAsia="標楷體" w:hAnsi="標楷體" w:hint="eastAsia"/>
                <w:bCs/>
                <w:color w:val="000000"/>
              </w:rPr>
              <w:t>，</w:t>
            </w:r>
            <w:r w:rsidRPr="00FA2769">
              <w:rPr>
                <w:rFonts w:ascii="標楷體" w:eastAsia="標楷體" w:hAnsi="標楷體" w:hint="eastAsia"/>
                <w:bCs/>
                <w:color w:val="000000"/>
              </w:rPr>
              <w:t>因故未能檢附時，應</w:t>
            </w:r>
            <w:r>
              <w:rPr>
                <w:rFonts w:ascii="標楷體" w:eastAsia="標楷體" w:hAnsi="標楷體" w:hint="eastAsia"/>
                <w:bCs/>
                <w:color w:val="000000"/>
              </w:rPr>
              <w:t>檢</w:t>
            </w:r>
            <w:r>
              <w:rPr>
                <w:rFonts w:ascii="標楷體" w:eastAsia="標楷體" w:hAnsi="標楷體"/>
                <w:bCs/>
                <w:color w:val="000000"/>
              </w:rPr>
              <w:t>附資料</w:t>
            </w:r>
            <w:r w:rsidRPr="00FA2769">
              <w:rPr>
                <w:rFonts w:ascii="標楷體" w:eastAsia="標楷體" w:hAnsi="標楷體" w:hint="eastAsia"/>
                <w:bCs/>
                <w:color w:val="000000"/>
              </w:rPr>
              <w:t>說明原因，並於計畫執行三個月內完成研習，並繳交證明至列管單位。證明未能如期繳交者，未來計畫主持人申請之計畫，</w:t>
            </w:r>
            <w:r>
              <w:rPr>
                <w:rFonts w:ascii="標楷體" w:eastAsia="標楷體" w:hAnsi="標楷體" w:hint="eastAsia"/>
                <w:bCs/>
                <w:color w:val="000000"/>
              </w:rPr>
              <w:t>學</w:t>
            </w:r>
            <w:r w:rsidRPr="00FA2769">
              <w:rPr>
                <w:rFonts w:ascii="標楷體" w:eastAsia="標楷體" w:hAnsi="標楷體" w:hint="eastAsia"/>
                <w:bCs/>
                <w:color w:val="000000"/>
              </w:rPr>
              <w:t>校將不再協助申請送出。</w:t>
            </w:r>
          </w:p>
        </w:tc>
        <w:tc>
          <w:tcPr>
            <w:tcW w:w="1156" w:type="dxa"/>
          </w:tcPr>
          <w:p w:rsidR="00FA2769" w:rsidRPr="000966F4" w:rsidRDefault="00C437BA"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r w:rsidR="009E3E67" w:rsidRPr="000966F4" w:rsidTr="00403360">
        <w:trPr>
          <w:trHeight w:val="410"/>
          <w:jc w:val="center"/>
        </w:trPr>
        <w:tc>
          <w:tcPr>
            <w:tcW w:w="557" w:type="dxa"/>
            <w:vAlign w:val="center"/>
          </w:tcPr>
          <w:p w:rsidR="009E3E67" w:rsidRDefault="009E3E67" w:rsidP="00403360">
            <w:pPr>
              <w:snapToGrid w:val="0"/>
              <w:jc w:val="center"/>
              <w:rPr>
                <w:rFonts w:ascii="標楷體" w:eastAsia="標楷體" w:hAnsi="標楷體"/>
                <w:color w:val="000000"/>
              </w:rPr>
            </w:pPr>
            <w:r>
              <w:rPr>
                <w:rFonts w:ascii="標楷體" w:eastAsia="標楷體" w:hAnsi="標楷體" w:hint="eastAsia"/>
                <w:color w:val="000000"/>
              </w:rPr>
              <w:t>13.</w:t>
            </w:r>
          </w:p>
        </w:tc>
        <w:tc>
          <w:tcPr>
            <w:tcW w:w="8470" w:type="dxa"/>
          </w:tcPr>
          <w:p w:rsidR="009E3E67" w:rsidRPr="007B103C" w:rsidRDefault="00744BFB" w:rsidP="009E3E67">
            <w:pPr>
              <w:topLinePunct/>
              <w:snapToGrid w:val="0"/>
              <w:ind w:leftChars="51" w:left="124" w:rightChars="54" w:right="130" w:hanging="2"/>
              <w:jc w:val="both"/>
              <w:rPr>
                <w:rFonts w:ascii="標楷體" w:eastAsia="標楷體" w:hAnsi="標楷體"/>
                <w:bCs/>
              </w:rPr>
            </w:pPr>
            <w:r w:rsidRPr="007B103C">
              <w:rPr>
                <w:rFonts w:ascii="標楷體" w:eastAsia="標楷體" w:hAnsi="標楷體" w:hint="eastAsia"/>
                <w:bCs/>
              </w:rPr>
              <w:t>與計畫有關之資料文件</w:t>
            </w:r>
            <w:r w:rsidR="00F366A2">
              <w:rPr>
                <w:rFonts w:ascii="標楷體" w:eastAsia="標楷體" w:hAnsi="標楷體" w:hint="eastAsia"/>
                <w:bCs/>
              </w:rPr>
              <w:t>及研發成果</w:t>
            </w:r>
            <w:r w:rsidRPr="007B103C">
              <w:rPr>
                <w:rFonts w:ascii="標楷體" w:eastAsia="標楷體" w:hAnsi="標楷體" w:hint="eastAsia"/>
                <w:bCs/>
              </w:rPr>
              <w:t>係自行研究發展所得，並無任何抄襲或仿冒之情事，如有違法或侵權時，願</w:t>
            </w:r>
            <w:r w:rsidRPr="007B103C">
              <w:rPr>
                <w:rFonts w:ascii="標楷體" w:eastAsia="標楷體" w:hAnsi="標楷體"/>
                <w:bCs/>
              </w:rPr>
              <w:t>意</w:t>
            </w:r>
            <w:r w:rsidRPr="007B103C">
              <w:rPr>
                <w:rFonts w:ascii="標楷體" w:eastAsia="標楷體" w:hAnsi="標楷體" w:hint="eastAsia"/>
                <w:bCs/>
              </w:rPr>
              <w:t>自行負法律上之責任；計畫主持人應善盡執行計畫之責任，</w:t>
            </w:r>
            <w:r w:rsidRPr="007B103C">
              <w:rPr>
                <w:rFonts w:ascii="標楷體" w:eastAsia="標楷體" w:hAnsi="標楷體"/>
                <w:bCs/>
              </w:rPr>
              <w:t>未善</w:t>
            </w:r>
            <w:r w:rsidRPr="007B103C">
              <w:rPr>
                <w:rFonts w:ascii="標楷體" w:eastAsia="標楷體" w:hAnsi="標楷體" w:hint="eastAsia"/>
                <w:bCs/>
              </w:rPr>
              <w:t>盡所導致任何訴訟、賠款情事發生，願負完全責任。</w:t>
            </w:r>
          </w:p>
        </w:tc>
        <w:tc>
          <w:tcPr>
            <w:tcW w:w="1156" w:type="dxa"/>
          </w:tcPr>
          <w:p w:rsidR="009E3E67" w:rsidRPr="000966F4" w:rsidRDefault="002055C0" w:rsidP="00BB3B85">
            <w:pPr>
              <w:numPr>
                <w:ilvl w:val="0"/>
                <w:numId w:val="1"/>
              </w:numPr>
              <w:snapToGrid w:val="0"/>
              <w:ind w:left="258" w:hanging="258"/>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已瞭解</w:t>
            </w:r>
          </w:p>
        </w:tc>
      </w:tr>
    </w:tbl>
    <w:p w:rsidR="00744BFB" w:rsidRDefault="00744BFB" w:rsidP="009D350A">
      <w:pPr>
        <w:snapToGrid w:val="0"/>
        <w:spacing w:beforeLines="50" w:before="180"/>
        <w:rPr>
          <w:rFonts w:ascii="標楷體" w:eastAsia="標楷體" w:hAnsi="標楷體"/>
          <w:color w:val="000000"/>
          <w:sz w:val="32"/>
          <w:szCs w:val="32"/>
        </w:rPr>
      </w:pPr>
    </w:p>
    <w:p w:rsidR="00A568E0" w:rsidRDefault="00263EE0" w:rsidP="00464AB1">
      <w:pPr>
        <w:snapToGrid w:val="0"/>
        <w:spacing w:beforeLines="50" w:before="180"/>
        <w:rPr>
          <w:rFonts w:ascii="標楷體" w:eastAsia="標楷體" w:hAnsi="標楷體"/>
          <w:color w:val="000000"/>
          <w:sz w:val="28"/>
          <w:szCs w:val="28"/>
        </w:rPr>
      </w:pPr>
      <w:r w:rsidRPr="000966F4">
        <w:rPr>
          <w:rFonts w:ascii="標楷體" w:eastAsia="標楷體" w:hAnsi="標楷體" w:hint="eastAsia"/>
          <w:color w:val="000000"/>
          <w:sz w:val="32"/>
          <w:szCs w:val="32"/>
        </w:rPr>
        <w:t>計畫主持人：</w:t>
      </w:r>
      <w:r w:rsidRPr="000966F4">
        <w:rPr>
          <w:rFonts w:ascii="標楷體" w:eastAsia="標楷體" w:hAnsi="標楷體" w:hint="eastAsia"/>
          <w:color w:val="000000"/>
          <w:sz w:val="32"/>
          <w:szCs w:val="32"/>
          <w:u w:val="single"/>
        </w:rPr>
        <w:t xml:space="preserve">      </w:t>
      </w:r>
      <w:r w:rsidR="00C37294">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0966F4">
        <w:rPr>
          <w:rFonts w:ascii="標楷體" w:eastAsia="標楷體" w:hAnsi="標楷體" w:hint="eastAsia"/>
          <w:color w:val="000000"/>
          <w:sz w:val="32"/>
          <w:szCs w:val="32"/>
          <w:u w:val="single"/>
        </w:rPr>
        <w:t>（簽名）</w:t>
      </w:r>
      <w:r w:rsidRPr="000966F4">
        <w:rPr>
          <w:rFonts w:ascii="標楷體" w:eastAsia="標楷體" w:hAnsi="標楷體" w:hint="eastAsia"/>
          <w:color w:val="000000"/>
          <w:sz w:val="32"/>
          <w:szCs w:val="32"/>
        </w:rPr>
        <w:t xml:space="preserve">  </w:t>
      </w:r>
      <w:r w:rsidR="002C02E0">
        <w:rPr>
          <w:rFonts w:ascii="標楷體" w:eastAsia="標楷體" w:hAnsi="標楷體" w:hint="eastAsia"/>
          <w:color w:val="000000"/>
          <w:sz w:val="32"/>
          <w:szCs w:val="32"/>
        </w:rPr>
        <w:t xml:space="preserve">  </w:t>
      </w:r>
      <w:r>
        <w:rPr>
          <w:rFonts w:ascii="標楷體" w:eastAsia="標楷體" w:hAnsi="標楷體" w:hint="eastAsia"/>
          <w:color w:val="000000"/>
          <w:sz w:val="28"/>
          <w:szCs w:val="28"/>
        </w:rPr>
        <w:t>日期</w:t>
      </w:r>
      <w:r w:rsidRPr="000966F4">
        <w:rPr>
          <w:rFonts w:ascii="標楷體" w:eastAsia="標楷體" w:hAnsi="標楷體" w:hint="eastAsia"/>
          <w:color w:val="000000"/>
          <w:sz w:val="32"/>
          <w:szCs w:val="32"/>
        </w:rPr>
        <w:t>：</w:t>
      </w:r>
      <w:r w:rsidRPr="000966F4">
        <w:rPr>
          <w:rFonts w:ascii="標楷體" w:eastAsia="標楷體" w:hAnsi="標楷體" w:hint="eastAsia"/>
          <w:color w:val="000000"/>
          <w:sz w:val="28"/>
          <w:szCs w:val="28"/>
        </w:rPr>
        <w:t>民國</w:t>
      </w:r>
      <w:r>
        <w:rPr>
          <w:rFonts w:ascii="標楷體" w:eastAsia="標楷體" w:hAnsi="標楷體" w:hint="eastAsia"/>
          <w:color w:val="000000"/>
          <w:sz w:val="28"/>
          <w:szCs w:val="28"/>
        </w:rPr>
        <w:t xml:space="preserve"> </w:t>
      </w:r>
      <w:r w:rsidR="002C02E0">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2C02E0">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0966F4">
        <w:rPr>
          <w:rFonts w:ascii="標楷體" w:eastAsia="標楷體" w:hAnsi="標楷體" w:hint="eastAsia"/>
          <w:color w:val="000000"/>
          <w:sz w:val="28"/>
          <w:szCs w:val="28"/>
        </w:rPr>
        <w:t>年</w:t>
      </w:r>
      <w:r>
        <w:rPr>
          <w:rFonts w:ascii="標楷體" w:eastAsia="標楷體" w:hAnsi="標楷體" w:hint="eastAsia"/>
          <w:color w:val="000000"/>
          <w:sz w:val="28"/>
          <w:szCs w:val="28"/>
        </w:rPr>
        <w:t xml:space="preserve">  </w:t>
      </w:r>
      <w:r w:rsidR="002C02E0">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0966F4">
        <w:rPr>
          <w:rFonts w:ascii="標楷體" w:eastAsia="標楷體" w:hAnsi="標楷體" w:hint="eastAsia"/>
          <w:color w:val="000000"/>
          <w:sz w:val="28"/>
          <w:szCs w:val="28"/>
        </w:rPr>
        <w:t>月</w:t>
      </w:r>
      <w:r>
        <w:rPr>
          <w:rFonts w:ascii="標楷體" w:eastAsia="標楷體" w:hAnsi="標楷體" w:hint="eastAsia"/>
          <w:color w:val="000000"/>
          <w:sz w:val="28"/>
          <w:szCs w:val="28"/>
        </w:rPr>
        <w:t xml:space="preserve"> </w:t>
      </w:r>
      <w:r w:rsidR="002C02E0">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C37294">
        <w:rPr>
          <w:rFonts w:ascii="標楷體" w:eastAsia="標楷體" w:hAnsi="標楷體" w:hint="eastAsia"/>
          <w:color w:val="000000"/>
          <w:sz w:val="28"/>
          <w:szCs w:val="28"/>
        </w:rPr>
        <w:t xml:space="preserve"> </w:t>
      </w:r>
      <w:r w:rsidRPr="000966F4">
        <w:rPr>
          <w:rFonts w:ascii="標楷體" w:eastAsia="標楷體" w:hAnsi="標楷體" w:hint="eastAsia"/>
          <w:color w:val="000000"/>
          <w:sz w:val="28"/>
          <w:szCs w:val="28"/>
        </w:rPr>
        <w:t>日</w:t>
      </w:r>
    </w:p>
    <w:sectPr w:rsidR="00A568E0" w:rsidSect="009E3E67">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2DC" w:rsidRDefault="00CB72DC" w:rsidP="00FA2769">
      <w:r>
        <w:separator/>
      </w:r>
    </w:p>
  </w:endnote>
  <w:endnote w:type="continuationSeparator" w:id="0">
    <w:p w:rsidR="00CB72DC" w:rsidRDefault="00CB72DC" w:rsidP="00FA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2DC" w:rsidRDefault="00CB72DC" w:rsidP="00FA2769">
      <w:r>
        <w:separator/>
      </w:r>
    </w:p>
  </w:footnote>
  <w:footnote w:type="continuationSeparator" w:id="0">
    <w:p w:rsidR="00CB72DC" w:rsidRDefault="00CB72DC" w:rsidP="00FA2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4CF9"/>
    <w:multiLevelType w:val="hybridMultilevel"/>
    <w:tmpl w:val="36409486"/>
    <w:lvl w:ilvl="0" w:tplc="C08440D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7E2110A7"/>
    <w:multiLevelType w:val="hybridMultilevel"/>
    <w:tmpl w:val="522E4068"/>
    <w:lvl w:ilvl="0" w:tplc="49209D0E">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0"/>
    <w:rsid w:val="00031486"/>
    <w:rsid w:val="0008228C"/>
    <w:rsid w:val="000857F6"/>
    <w:rsid w:val="000A2A13"/>
    <w:rsid w:val="001301F3"/>
    <w:rsid w:val="00194D88"/>
    <w:rsid w:val="002055C0"/>
    <w:rsid w:val="00263EE0"/>
    <w:rsid w:val="00276E98"/>
    <w:rsid w:val="002C02E0"/>
    <w:rsid w:val="00403360"/>
    <w:rsid w:val="00406B44"/>
    <w:rsid w:val="00431CED"/>
    <w:rsid w:val="00464AB1"/>
    <w:rsid w:val="004C2272"/>
    <w:rsid w:val="00595BD9"/>
    <w:rsid w:val="006244E1"/>
    <w:rsid w:val="0073131D"/>
    <w:rsid w:val="00744BFB"/>
    <w:rsid w:val="007B103C"/>
    <w:rsid w:val="007C69AE"/>
    <w:rsid w:val="00863577"/>
    <w:rsid w:val="008D6E28"/>
    <w:rsid w:val="009C76B4"/>
    <w:rsid w:val="009D350A"/>
    <w:rsid w:val="009E3E67"/>
    <w:rsid w:val="00A558E9"/>
    <w:rsid w:val="00A568E0"/>
    <w:rsid w:val="00A85849"/>
    <w:rsid w:val="00B06A10"/>
    <w:rsid w:val="00B35565"/>
    <w:rsid w:val="00B42D2D"/>
    <w:rsid w:val="00B850C7"/>
    <w:rsid w:val="00BB3B85"/>
    <w:rsid w:val="00BC7DAF"/>
    <w:rsid w:val="00C0461A"/>
    <w:rsid w:val="00C37294"/>
    <w:rsid w:val="00C437BA"/>
    <w:rsid w:val="00CB72DC"/>
    <w:rsid w:val="00CE05EF"/>
    <w:rsid w:val="00CF295D"/>
    <w:rsid w:val="00D12A5D"/>
    <w:rsid w:val="00D15E2D"/>
    <w:rsid w:val="00D63464"/>
    <w:rsid w:val="00D8717E"/>
    <w:rsid w:val="00DB0D00"/>
    <w:rsid w:val="00DC37CD"/>
    <w:rsid w:val="00DD1A44"/>
    <w:rsid w:val="00E03AB6"/>
    <w:rsid w:val="00F136F6"/>
    <w:rsid w:val="00F366A2"/>
    <w:rsid w:val="00F4146B"/>
    <w:rsid w:val="00FA2769"/>
    <w:rsid w:val="00FD3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96B4A-ED9A-43C9-BC9A-9FE6E242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E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EE0"/>
    <w:pPr>
      <w:ind w:leftChars="200" w:left="480"/>
    </w:pPr>
  </w:style>
  <w:style w:type="paragraph" w:styleId="a4">
    <w:name w:val="header"/>
    <w:basedOn w:val="a"/>
    <w:link w:val="a5"/>
    <w:uiPriority w:val="99"/>
    <w:unhideWhenUsed/>
    <w:rsid w:val="00FA2769"/>
    <w:pPr>
      <w:tabs>
        <w:tab w:val="center" w:pos="4153"/>
        <w:tab w:val="right" w:pos="8306"/>
      </w:tabs>
      <w:snapToGrid w:val="0"/>
    </w:pPr>
    <w:rPr>
      <w:sz w:val="20"/>
      <w:szCs w:val="20"/>
    </w:rPr>
  </w:style>
  <w:style w:type="character" w:customStyle="1" w:styleId="a5">
    <w:name w:val="頁首 字元"/>
    <w:basedOn w:val="a0"/>
    <w:link w:val="a4"/>
    <w:uiPriority w:val="99"/>
    <w:rsid w:val="00FA2769"/>
    <w:rPr>
      <w:sz w:val="20"/>
      <w:szCs w:val="20"/>
    </w:rPr>
  </w:style>
  <w:style w:type="paragraph" w:styleId="a6">
    <w:name w:val="footer"/>
    <w:basedOn w:val="a"/>
    <w:link w:val="a7"/>
    <w:uiPriority w:val="99"/>
    <w:unhideWhenUsed/>
    <w:rsid w:val="00FA2769"/>
    <w:pPr>
      <w:tabs>
        <w:tab w:val="center" w:pos="4153"/>
        <w:tab w:val="right" w:pos="8306"/>
      </w:tabs>
      <w:snapToGrid w:val="0"/>
    </w:pPr>
    <w:rPr>
      <w:sz w:val="20"/>
      <w:szCs w:val="20"/>
    </w:rPr>
  </w:style>
  <w:style w:type="character" w:customStyle="1" w:styleId="a7">
    <w:name w:val="頁尾 字元"/>
    <w:basedOn w:val="a0"/>
    <w:link w:val="a6"/>
    <w:uiPriority w:val="99"/>
    <w:rsid w:val="00FA27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dc:creator>
  <cp:lastModifiedBy>yuchin</cp:lastModifiedBy>
  <cp:revision>2</cp:revision>
  <cp:lastPrinted>2021-09-02T05:08:00Z</cp:lastPrinted>
  <dcterms:created xsi:type="dcterms:W3CDTF">2022-09-14T01:55:00Z</dcterms:created>
  <dcterms:modified xsi:type="dcterms:W3CDTF">2022-09-14T01:55:00Z</dcterms:modified>
</cp:coreProperties>
</file>